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7431B1" w:rsidP="006873D7">
      <w:pPr>
        <w:pStyle w:val="Style2"/>
        <w:widowControl/>
        <w:spacing w:before="197"/>
        <w:ind w:left="1944" w:right="1944"/>
        <w:rPr>
          <w:rStyle w:val="FontStyle13"/>
        </w:rPr>
      </w:pPr>
      <w:r>
        <w:rPr>
          <w:rStyle w:val="FontStyle13"/>
        </w:rPr>
        <w:t>UMOWA NR ZP-271/2</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8900DE" w:rsidRPr="00C83A40" w:rsidRDefault="008900DE" w:rsidP="00C83A40">
      <w:pPr>
        <w:widowControl/>
        <w:numPr>
          <w:ilvl w:val="0"/>
          <w:numId w:val="1"/>
        </w:numPr>
        <w:tabs>
          <w:tab w:val="left" w:pos="355"/>
        </w:tabs>
        <w:spacing w:before="245" w:line="274" w:lineRule="exact"/>
        <w:ind w:left="355" w:hanging="355"/>
        <w:jc w:val="both"/>
        <w:rPr>
          <w:b/>
          <w:bCs/>
          <w:color w:val="000000"/>
          <w:sz w:val="26"/>
          <w:szCs w:val="26"/>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C83A40" w:rsidRPr="00C83A40">
        <w:rPr>
          <w:b/>
          <w:bCs/>
          <w:color w:val="000000"/>
          <w:sz w:val="22"/>
          <w:szCs w:val="22"/>
        </w:rPr>
        <w:t>Budowa</w:t>
      </w:r>
      <w:r w:rsidR="004A7ADD">
        <w:rPr>
          <w:b/>
          <w:bCs/>
          <w:color w:val="000000"/>
          <w:sz w:val="22"/>
          <w:szCs w:val="22"/>
        </w:rPr>
        <w:t xml:space="preserve"> sieci</w:t>
      </w:r>
      <w:r w:rsidR="00C83A40" w:rsidRPr="00C83A40">
        <w:rPr>
          <w:b/>
          <w:bCs/>
          <w:color w:val="000000"/>
          <w:sz w:val="22"/>
          <w:szCs w:val="22"/>
        </w:rPr>
        <w:t xml:space="preserve"> kanalizacji sanitarnej z przyłączami, przepompowniami i zasilaniem energetycznym dla wsi Anielin i Jarochy.</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określa opis przedmiotu zamówienia - stanowiący (wraz z załączonym do niego przedmiarem robót ) załącznik nr 1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C83A40">
        <w:rPr>
          <w:rStyle w:val="FontStyle15"/>
          <w:b/>
        </w:rPr>
        <w:t>…..</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C83A40" w:rsidRPr="00C83A40">
        <w:rPr>
          <w:b/>
          <w:color w:val="000000"/>
          <w:sz w:val="22"/>
          <w:szCs w:val="22"/>
        </w:rPr>
        <w:t>do 30 września 2021r.</w:t>
      </w:r>
      <w:r w:rsidR="004A7ADD">
        <w:rPr>
          <w:b/>
          <w:bCs/>
          <w:color w:val="000000"/>
          <w:sz w:val="22"/>
          <w:szCs w:val="22"/>
        </w:rPr>
        <w:t xml:space="preserve"> / w tym do 31 października </w:t>
      </w:r>
      <w:bookmarkStart w:id="0" w:name="_GoBack"/>
      <w:bookmarkEnd w:id="0"/>
      <w:r w:rsidR="00C83A40" w:rsidRPr="00C83A40">
        <w:rPr>
          <w:b/>
          <w:bCs/>
          <w:color w:val="000000"/>
          <w:sz w:val="22"/>
          <w:szCs w:val="22"/>
        </w:rPr>
        <w:t>2020r. – wymagane wykonanie 40% zakresu rzeczowo-finansowego inwestycji/</w:t>
      </w:r>
      <w:r w:rsidR="00C83A40">
        <w:rPr>
          <w:rStyle w:val="FontStyle15"/>
          <w:b/>
        </w:rPr>
        <w:t xml:space="preserve"> </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C83A40" w:rsidRPr="00C83A40" w:rsidRDefault="00C83A40" w:rsidP="00C83A40">
      <w:pPr>
        <w:rPr>
          <w:rStyle w:val="FontStyle15"/>
          <w:b/>
        </w:rPr>
      </w:pPr>
      <w:r>
        <w:rPr>
          <w:rStyle w:val="FontStyle15"/>
        </w:rPr>
        <w:t xml:space="preserve">3.1. W ciągu 7 dni od podpisania niniejszej umowy , Wykonawca zobowiązuje się do przedłożenia Zamawiającemu : </w:t>
      </w:r>
      <w:r w:rsidRPr="00C83A40">
        <w:rPr>
          <w:rStyle w:val="FontStyle15"/>
          <w:b/>
        </w:rPr>
        <w:t>harmonogramu prac i harmonogramu rzeczowo-finansowego wykonania inwestycji.</w:t>
      </w:r>
    </w:p>
    <w:p w:rsidR="006873D7" w:rsidRPr="00C83A40" w:rsidRDefault="006873D7">
      <w:pPr>
        <w:rPr>
          <w:b/>
        </w:rPr>
      </w:pPr>
    </w:p>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lastRenderedPageBreak/>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 xml:space="preserve">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w:t>
      </w:r>
      <w:r>
        <w:rPr>
          <w:rStyle w:val="FontStyle15"/>
        </w:rPr>
        <w:lastRenderedPageBreak/>
        <w:t>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C83A40">
        <w:rPr>
          <w:rStyle w:val="FontStyle15"/>
        </w:rPr>
        <w:t>tów winna być nie mniejsza niż 1 5</w:t>
      </w:r>
      <w:r>
        <w:rPr>
          <w:rStyle w:val="FontStyle15"/>
        </w:rPr>
        <w:t>00</w:t>
      </w:r>
      <w:r w:rsidR="00C83A40">
        <w:rPr>
          <w:rStyle w:val="FontStyle15"/>
        </w:rPr>
        <w:t> </w:t>
      </w:r>
      <w:r>
        <w:rPr>
          <w:rStyle w:val="FontStyle15"/>
        </w:rPr>
        <w:t>000</w:t>
      </w:r>
      <w:r w:rsidR="00C83A40">
        <w:rPr>
          <w:rStyle w:val="FontStyle15"/>
        </w:rPr>
        <w:t>,00</w:t>
      </w:r>
      <w:r>
        <w:rPr>
          <w:rStyle w:val="FontStyle15"/>
        </w:rPr>
        <w:t xml:space="preserve">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przekazanie Zamawiającemu, przed przystąpieniem do odbioru końcowego, dokumentacji powykonawczej i geodezyjnej (wraz z naniesieniem na mapę zasadniczą miasta) wraz z 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oświadcza, że ponosi wyłączną odpowiedzialność na zasadach ogólnych przewidzianych w Kodeksie Cywilnym za szkody wynikłe na terenie budowy. Wykonawca </w:t>
      </w:r>
      <w:r>
        <w:rPr>
          <w:rStyle w:val="FontStyle15"/>
        </w:rPr>
        <w:lastRenderedPageBreak/>
        <w:t>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8900DE">
        <w:rPr>
          <w:color w:val="000000"/>
          <w:sz w:val="22"/>
          <w:szCs w:val="22"/>
        </w:rPr>
        <w:t>wykonanie ocieplenia ścian i fundamentów budynku szkoły</w:t>
      </w:r>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w:t>
      </w:r>
      <w:r>
        <w:rPr>
          <w:rStyle w:val="FontStyle15"/>
        </w:rPr>
        <w:lastRenderedPageBreak/>
        <w:t xml:space="preserve">przepisami ustawy z dnia 29 sierpnia 1997 r. o ochronie danych osobowych. Imię i nazwisko pracownika nie podlega </w:t>
      </w:r>
      <w:proofErr w:type="spellStart"/>
      <w:r>
        <w:rPr>
          <w:rStyle w:val="FontStyle15"/>
        </w:rPr>
        <w:t>anonimizacji</w:t>
      </w:r>
      <w:proofErr w:type="spellEnd"/>
      <w:r>
        <w:rPr>
          <w:rStyle w:val="FontStyle15"/>
        </w:rPr>
        <w:t>.</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6961F4">
        <w:rPr>
          <w:color w:val="000000"/>
          <w:sz w:val="22"/>
          <w:szCs w:val="22"/>
        </w:rPr>
        <w:t>mach branży sanitarnej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Pr="006961F4" w:rsidRDefault="006961F4" w:rsidP="006873D7">
      <w:pPr>
        <w:pStyle w:val="Style6"/>
        <w:widowControl/>
        <w:numPr>
          <w:ilvl w:val="0"/>
          <w:numId w:val="18"/>
        </w:numPr>
        <w:tabs>
          <w:tab w:val="left" w:pos="355"/>
        </w:tabs>
        <w:spacing w:line="274" w:lineRule="exact"/>
        <w:ind w:left="355" w:right="10"/>
        <w:rPr>
          <w:rStyle w:val="FontStyle15"/>
          <w:b/>
        </w:rPr>
      </w:pPr>
      <w:r w:rsidRPr="006961F4">
        <w:rPr>
          <w:rStyle w:val="FontStyle15"/>
          <w:b/>
        </w:rPr>
        <w:lastRenderedPageBreak/>
        <w:t xml:space="preserve">Rozliczenie </w:t>
      </w:r>
      <w:r w:rsidR="006873D7" w:rsidRPr="006961F4">
        <w:rPr>
          <w:rStyle w:val="FontStyle15"/>
          <w:b/>
        </w:rPr>
        <w:t xml:space="preserve"> robót</w:t>
      </w:r>
      <w:r w:rsidRPr="006961F4">
        <w:rPr>
          <w:rStyle w:val="FontStyle15"/>
          <w:b/>
        </w:rPr>
        <w:t xml:space="preserve"> wykonanych w 2020r. nastąpi fakturą częściową</w:t>
      </w:r>
      <w:r w:rsidR="006873D7" w:rsidRPr="006961F4">
        <w:rPr>
          <w:rStyle w:val="FontStyle15"/>
          <w:b/>
        </w:rPr>
        <w:t xml:space="preserve"> wystawioną przez Wykonawcę wraz z wymaganymi oświadczeniami i załącznikami, po dokonaniu przez Zamawiającego b</w:t>
      </w:r>
      <w:r w:rsidRPr="006961F4">
        <w:rPr>
          <w:rStyle w:val="FontStyle15"/>
          <w:b/>
        </w:rPr>
        <w:t xml:space="preserve">ezusterkowego odbioru częściowego </w:t>
      </w:r>
      <w:r w:rsidR="006873D7" w:rsidRPr="006961F4">
        <w:rPr>
          <w:rStyle w:val="FontStyle15"/>
          <w:b/>
        </w:rPr>
        <w:t>robót, zakończonego protokołem odbioru.</w:t>
      </w:r>
    </w:p>
    <w:p w:rsidR="006961F4" w:rsidRPr="006961F4" w:rsidRDefault="006961F4" w:rsidP="006961F4">
      <w:pPr>
        <w:pStyle w:val="Style6"/>
        <w:widowControl/>
        <w:numPr>
          <w:ilvl w:val="0"/>
          <w:numId w:val="18"/>
        </w:numPr>
        <w:tabs>
          <w:tab w:val="left" w:pos="355"/>
        </w:tabs>
        <w:spacing w:line="274" w:lineRule="exact"/>
        <w:ind w:left="355" w:right="10"/>
        <w:rPr>
          <w:rStyle w:val="FontStyle15"/>
          <w:b/>
        </w:rPr>
      </w:pPr>
      <w:r w:rsidRPr="006961F4">
        <w:rPr>
          <w:rStyle w:val="FontStyle15"/>
          <w:b/>
        </w:rPr>
        <w:t>Rozliczenie  robót wykonanych w 2021r. nastąpi fakturą końcową wystawioną przez Wykonawcę wraz z wymaganymi oświadczeniami i załącznikami, po dokonaniu przez Zamawiającego bezusterkowego odbioru końcowego robót, zakończonego protokołem odbioru.</w:t>
      </w:r>
    </w:p>
    <w:p w:rsidR="006961F4" w:rsidRDefault="006961F4" w:rsidP="006961F4">
      <w:pPr>
        <w:pStyle w:val="Style6"/>
        <w:widowControl/>
        <w:tabs>
          <w:tab w:val="left" w:pos="355"/>
        </w:tabs>
        <w:spacing w:line="274" w:lineRule="exact"/>
        <w:ind w:left="355" w:right="10" w:firstLine="0"/>
        <w:rPr>
          <w:rStyle w:val="FontStyle15"/>
        </w:rPr>
      </w:pP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w:t>
      </w:r>
      <w:r>
        <w:rPr>
          <w:rStyle w:val="FontStyle15"/>
        </w:rPr>
        <w:lastRenderedPageBreak/>
        <w:t>częściowego lub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 terminie do 14 dni od daty otrzymania przez Zamawiającego środków zewnętrznych z Wojewódzkiego Funduszu Ochrony Środowiska i Gospodarki Wodnej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961F4" w:rsidRDefault="006961F4" w:rsidP="006961F4">
      <w:pPr>
        <w:pStyle w:val="Style6"/>
        <w:widowControl/>
        <w:tabs>
          <w:tab w:val="left" w:pos="350"/>
        </w:tabs>
        <w:spacing w:line="274" w:lineRule="exact"/>
        <w:ind w:right="14" w:firstLine="0"/>
        <w:rPr>
          <w:rStyle w:val="FontStyle15"/>
        </w:rPr>
      </w:pPr>
    </w:p>
    <w:p w:rsidR="006961F4" w:rsidRDefault="006961F4" w:rsidP="006961F4">
      <w:pPr>
        <w:pStyle w:val="Style6"/>
        <w:widowControl/>
        <w:tabs>
          <w:tab w:val="left" w:pos="350"/>
        </w:tabs>
        <w:spacing w:line="274" w:lineRule="exact"/>
        <w:ind w:right="14" w:firstLine="0"/>
        <w:rPr>
          <w:rStyle w:val="FontStyle15"/>
        </w:rPr>
      </w:pP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961F4" w:rsidRDefault="006961F4" w:rsidP="006961F4">
      <w:pPr>
        <w:rPr>
          <w:rStyle w:val="FontStyle15"/>
        </w:rPr>
      </w:pPr>
    </w:p>
    <w:p w:rsidR="006961F4" w:rsidRDefault="006961F4" w:rsidP="006961F4">
      <w:pPr>
        <w:rPr>
          <w:rStyle w:val="FontStyle15"/>
        </w:rPr>
      </w:pPr>
    </w:p>
    <w:p w:rsidR="006961F4" w:rsidRDefault="006961F4" w:rsidP="006961F4">
      <w:pPr>
        <w:rPr>
          <w:rStyle w:val="FontStyle15"/>
        </w:rPr>
      </w:pP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6961F4" w:rsidRDefault="006961F4"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opóźnienia przekazania harmonogramu prac w stosunku do terminu określonego w pkt 2 </w:t>
      </w:r>
      <w:proofErr w:type="spellStart"/>
      <w:r>
        <w:rPr>
          <w:rStyle w:val="FontStyle15"/>
        </w:rPr>
        <w:t>ppkt</w:t>
      </w:r>
      <w:proofErr w:type="spellEnd"/>
      <w:r>
        <w:rPr>
          <w:rStyle w:val="FontStyle15"/>
        </w:rPr>
        <w:t xml:space="preserve">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za każdy rozpoczęty dzień opóźnienia w stosunku do terminu zakończenia robót na danym odcinku drogi zgodnie z zaakceptowanym harmonogramem prac - w wysokości 0,1% wynagrodzenia umownego brutto określonego w § 7 ust. 1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961F4" w:rsidRDefault="006961F4" w:rsidP="006961F4">
      <w:pPr>
        <w:pStyle w:val="Style6"/>
        <w:widowControl/>
        <w:tabs>
          <w:tab w:val="left" w:pos="710"/>
        </w:tabs>
        <w:spacing w:line="274" w:lineRule="exact"/>
        <w:ind w:firstLine="0"/>
        <w:rPr>
          <w:rStyle w:val="FontStyle15"/>
        </w:rPr>
      </w:pP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jc w:val="left"/>
        <w:rPr>
          <w:rStyle w:val="FontStyle15"/>
        </w:rPr>
      </w:pPr>
      <w:r>
        <w:rPr>
          <w:rStyle w:val="FontStyle15"/>
        </w:rPr>
        <w:t xml:space="preserve">Opis przedmiotu zamówienia </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Przedmiar robót</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2F" w:rsidRDefault="00386B2F" w:rsidP="00305D64">
      <w:r>
        <w:separator/>
      </w:r>
    </w:p>
  </w:endnote>
  <w:endnote w:type="continuationSeparator" w:id="0">
    <w:p w:rsidR="00386B2F" w:rsidRDefault="00386B2F"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4A7ADD">
          <w:rPr>
            <w:noProof/>
          </w:rPr>
          <w:t>15</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2F" w:rsidRDefault="00386B2F" w:rsidP="00305D64">
      <w:r>
        <w:separator/>
      </w:r>
    </w:p>
  </w:footnote>
  <w:footnote w:type="continuationSeparator" w:id="0">
    <w:p w:rsidR="00386B2F" w:rsidRDefault="00386B2F"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305D64"/>
    <w:rsid w:val="00386B2F"/>
    <w:rsid w:val="004A7ADD"/>
    <w:rsid w:val="00546A9B"/>
    <w:rsid w:val="00595FDE"/>
    <w:rsid w:val="006873D7"/>
    <w:rsid w:val="006961F4"/>
    <w:rsid w:val="007431B1"/>
    <w:rsid w:val="00831BDD"/>
    <w:rsid w:val="008900DE"/>
    <w:rsid w:val="00A33866"/>
    <w:rsid w:val="00AD4046"/>
    <w:rsid w:val="00C57458"/>
    <w:rsid w:val="00C83A40"/>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6295</Words>
  <Characters>37774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10</cp:revision>
  <cp:lastPrinted>2019-07-30T11:03:00Z</cp:lastPrinted>
  <dcterms:created xsi:type="dcterms:W3CDTF">2019-07-30T10:35:00Z</dcterms:created>
  <dcterms:modified xsi:type="dcterms:W3CDTF">2020-05-21T14:00:00Z</dcterms:modified>
</cp:coreProperties>
</file>